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2" w:rsidRDefault="003B5C5D">
      <w:r>
        <w:rPr>
          <w:noProof/>
          <w:lang w:eastAsia="fr-BE"/>
        </w:rPr>
        <w:drawing>
          <wp:inline distT="0" distB="0" distL="0" distR="0">
            <wp:extent cx="1260000" cy="5922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59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Bruxelles, le 23 avril 2020</w:t>
      </w:r>
    </w:p>
    <w:p w:rsidR="003B5C5D" w:rsidRDefault="003B5C5D"/>
    <w:p w:rsidR="003B5C5D" w:rsidRDefault="003B5C5D"/>
    <w:p w:rsidR="003B5C5D" w:rsidRDefault="003B5C5D">
      <w:r>
        <w:tab/>
      </w:r>
      <w:r>
        <w:tab/>
      </w:r>
      <w:r>
        <w:tab/>
      </w:r>
      <w:r>
        <w:tab/>
        <w:t>Chers parents, chers élèves</w:t>
      </w:r>
    </w:p>
    <w:p w:rsidR="003B5C5D" w:rsidRDefault="003B5C5D"/>
    <w:p w:rsidR="003B5C5D" w:rsidRDefault="003B5C5D" w:rsidP="003B5C5D">
      <w:pPr>
        <w:jc w:val="both"/>
      </w:pPr>
      <w:r>
        <w:tab/>
      </w:r>
      <w:r>
        <w:tab/>
      </w:r>
      <w:r>
        <w:tab/>
      </w:r>
      <w:r>
        <w:tab/>
        <w:t>Après cette pause du congé de Pâques, je reviens vers vous pour vous proposer de nouvelles ressources et vous rappeler que nous restons à votre disposition malgré le confinement.</w:t>
      </w:r>
    </w:p>
    <w:p w:rsidR="003B5C5D" w:rsidRDefault="003B5C5D" w:rsidP="003B5C5D">
      <w:pPr>
        <w:jc w:val="both"/>
      </w:pPr>
      <w:r>
        <w:t>L</w:t>
      </w:r>
      <w:r w:rsidR="008A04D0">
        <w:t>a première</w:t>
      </w:r>
      <w:r>
        <w:t xml:space="preserve"> ressource propos</w:t>
      </w:r>
      <w:r w:rsidR="008A04D0">
        <w:t>é</w:t>
      </w:r>
      <w:r>
        <w:t>e aujourd’hui</w:t>
      </w:r>
      <w:r w:rsidR="008A04D0">
        <w:t xml:space="preserve"> est une boîte à outil</w:t>
      </w:r>
      <w:r>
        <w:t xml:space="preserve"> créée</w:t>
      </w:r>
      <w:r w:rsidR="008A04D0">
        <w:t xml:space="preserve"> par l’UFAPEC</w:t>
      </w:r>
      <w:r w:rsidR="00F201A0">
        <w:t xml:space="preserve"> (Union Francophone des Associations de Parents de l’Enseignement Catholique) et l’APEDA (Association belge de Parents et Professionnels pour les Enfants en Difficulté d’Apprentissage)</w:t>
      </w:r>
      <w:r>
        <w:t xml:space="preserve"> pour les élèves ayant un trouble d’apprentissage, souffrant de TDA/H ou les élèves à Haut Potentiel mais beaucoup</w:t>
      </w:r>
      <w:r w:rsidR="00F201A0">
        <w:t xml:space="preserve"> des outils</w:t>
      </w:r>
      <w:r>
        <w:t xml:space="preserve"> sont utilisables par tous les élèves.</w:t>
      </w:r>
    </w:p>
    <w:p w:rsidR="008A04D0" w:rsidRDefault="008A04D0" w:rsidP="00F201A0">
      <w:pPr>
        <w:jc w:val="center"/>
      </w:pPr>
      <w:r>
        <w:rPr>
          <w:noProof/>
          <w:lang w:eastAsia="fr-BE"/>
        </w:rPr>
        <w:drawing>
          <wp:inline distT="0" distB="0" distL="0" distR="0">
            <wp:extent cx="2952000" cy="415870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41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1A0" w:rsidRDefault="00F201A0" w:rsidP="00F201A0">
      <w:pPr>
        <w:pStyle w:val="Corpsdetexte"/>
        <w:ind w:left="107"/>
        <w:rPr>
          <w:rFonts w:asciiTheme="minorHAnsi" w:hAnsiTheme="minorHAnsi" w:cstheme="minorHAnsi"/>
          <w:sz w:val="22"/>
          <w:szCs w:val="22"/>
        </w:rPr>
      </w:pPr>
      <w:r w:rsidRPr="00F201A0">
        <w:rPr>
          <w:rFonts w:asciiTheme="minorHAnsi" w:hAnsiTheme="minorHAnsi" w:cstheme="minorHAnsi"/>
          <w:sz w:val="22"/>
          <w:szCs w:val="22"/>
        </w:rPr>
        <w:t xml:space="preserve">Vous trouverez </w:t>
      </w:r>
      <w:r>
        <w:rPr>
          <w:rFonts w:asciiTheme="minorHAnsi" w:hAnsiTheme="minorHAnsi" w:cstheme="minorHAnsi"/>
          <w:sz w:val="22"/>
          <w:szCs w:val="22"/>
        </w:rPr>
        <w:t>plus bas, la table des matières des différentes fiches.</w:t>
      </w:r>
    </w:p>
    <w:p w:rsidR="00F201A0" w:rsidRDefault="00F201A0" w:rsidP="00F201A0">
      <w:pPr>
        <w:pStyle w:val="Corpsdetexte"/>
        <w:ind w:left="107"/>
        <w:rPr>
          <w:rFonts w:asciiTheme="minorHAnsi" w:hAnsiTheme="minorHAnsi" w:cstheme="minorHAnsi"/>
          <w:sz w:val="22"/>
          <w:szCs w:val="22"/>
        </w:rPr>
      </w:pPr>
    </w:p>
    <w:p w:rsidR="00F201A0" w:rsidRPr="00F201A0" w:rsidRDefault="00F201A0" w:rsidP="00F201A0">
      <w:pPr>
        <w:pStyle w:val="Corpsdetexte"/>
        <w:ind w:lef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deuxième ressource est plus dédiée au</w:t>
      </w:r>
      <w:r w:rsidR="00612A3D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enfants souffrant de TDA/H mais, de nouveau, rien n’empêche d’utiliser les outils avec d’autres enfants… Il s’agit des outils proposés sur le site de TDA/H </w:t>
      </w:r>
      <w:r w:rsidR="00C43232">
        <w:rPr>
          <w:rFonts w:asciiTheme="minorHAnsi" w:hAnsiTheme="minorHAnsi" w:cstheme="minorHAnsi"/>
          <w:sz w:val="22"/>
          <w:szCs w:val="22"/>
        </w:rPr>
        <w:t xml:space="preserve">Belgique dont voici le lien : </w:t>
      </w:r>
      <w:hyperlink r:id="rId6" w:history="1">
        <w:r w:rsidR="00C43232" w:rsidRPr="00AE0016">
          <w:rPr>
            <w:rStyle w:val="Lienhypertexte"/>
            <w:rFonts w:asciiTheme="minorHAnsi" w:hAnsiTheme="minorHAnsi" w:cstheme="minorHAnsi"/>
            <w:sz w:val="22"/>
            <w:szCs w:val="22"/>
          </w:rPr>
          <w:t>http://www.tdah.be/index.php/aide-soutien/outils-pratiques</w:t>
        </w:r>
      </w:hyperlink>
      <w:r w:rsidR="00C432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01A0" w:rsidRDefault="00F201A0" w:rsidP="00F201A0">
      <w:pPr>
        <w:pStyle w:val="Corpsdetexte"/>
        <w:ind w:left="107"/>
        <w:rPr>
          <w:rFonts w:ascii="Times New Roman"/>
          <w:sz w:val="20"/>
        </w:rPr>
      </w:pPr>
    </w:p>
    <w:p w:rsidR="00F201A0" w:rsidRDefault="00F201A0" w:rsidP="00F201A0">
      <w:pPr>
        <w:pStyle w:val="Corpsdetexte"/>
        <w:ind w:left="107"/>
        <w:rPr>
          <w:rFonts w:ascii="Times New Roman"/>
          <w:sz w:val="20"/>
        </w:rPr>
      </w:pPr>
    </w:p>
    <w:p w:rsidR="00F201A0" w:rsidRDefault="00F201A0" w:rsidP="00F201A0">
      <w:pPr>
        <w:pStyle w:val="Corpsdetexte"/>
        <w:ind w:left="107"/>
        <w:rPr>
          <w:rFonts w:ascii="Times New Roman"/>
          <w:sz w:val="20"/>
        </w:rPr>
      </w:pPr>
    </w:p>
    <w:p w:rsidR="00F201A0" w:rsidRDefault="00F201A0" w:rsidP="00F201A0">
      <w:pPr>
        <w:pStyle w:val="Corpsdetexte"/>
        <w:ind w:left="107"/>
        <w:rPr>
          <w:rFonts w:ascii="Times New Roman"/>
          <w:sz w:val="20"/>
        </w:rPr>
      </w:pPr>
    </w:p>
    <w:p w:rsidR="00F201A0" w:rsidRPr="00C43232" w:rsidRDefault="00C43232" w:rsidP="00C4323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3232">
        <w:rPr>
          <w:rFonts w:asciiTheme="minorHAnsi" w:hAnsiTheme="minorHAnsi" w:cstheme="minorHAnsi"/>
          <w:b/>
          <w:bCs/>
          <w:sz w:val="28"/>
          <w:szCs w:val="28"/>
        </w:rPr>
        <w:t>TABLE DES MATIERES DES FICHES-OUTILS UFAPEC/APEDA</w:t>
      </w:r>
    </w:p>
    <w:p w:rsidR="00F201A0" w:rsidRDefault="00F201A0" w:rsidP="00F201A0">
      <w:pPr>
        <w:pStyle w:val="Corpsdetexte"/>
        <w:ind w:left="107"/>
        <w:rPr>
          <w:rFonts w:ascii="Times New Roman"/>
          <w:sz w:val="20"/>
        </w:rPr>
      </w:pPr>
    </w:p>
    <w:p w:rsidR="00F201A0" w:rsidRDefault="001F7375" w:rsidP="00F201A0">
      <w:pPr>
        <w:pStyle w:val="Corpsdetex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8" type="#_x0000_t202" style="width:452.25pt;height:40.8pt;visibility:visible;mso-position-horizontal-relative:char;mso-position-vertical-relative:line" fillcolor="#6fac46" stroked="f">
            <v:textbox inset="0,0,0,0">
              <w:txbxContent>
                <w:p w:rsidR="00F201A0" w:rsidRDefault="00F201A0" w:rsidP="00F201A0">
                  <w:pPr>
                    <w:spacing w:before="185"/>
                    <w:ind w:left="2626" w:right="2626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Fiches pratico-pratiques</w:t>
                  </w:r>
                </w:p>
              </w:txbxContent>
            </v:textbox>
            <w10:wrap type="none"/>
            <w10:anchorlock/>
          </v:shape>
        </w:pict>
      </w:r>
    </w:p>
    <w:p w:rsidR="00F201A0" w:rsidRDefault="00F201A0" w:rsidP="00F201A0">
      <w:pPr>
        <w:pStyle w:val="Corpsdetexte"/>
        <w:rPr>
          <w:rFonts w:ascii="Times New Roman"/>
          <w:sz w:val="20"/>
        </w:rPr>
      </w:pPr>
    </w:p>
    <w:p w:rsidR="00F201A0" w:rsidRPr="00C43232" w:rsidRDefault="00F201A0" w:rsidP="00C43232">
      <w:pPr>
        <w:spacing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 </w:t>
      </w:r>
      <w:r w:rsidRPr="00C43232">
        <w:rPr>
          <w:rFonts w:cstheme="minorHAnsi"/>
        </w:rPr>
        <w:t xml:space="preserve">- </w:t>
      </w:r>
      <w:hyperlink r:id="rId7">
        <w:r w:rsidRPr="00C43232">
          <w:rPr>
            <w:rFonts w:cstheme="minorHAnsi"/>
            <w:color w:val="0462C1"/>
            <w:u w:val="single" w:color="0462C1"/>
          </w:rPr>
          <w:t>Le travail à domicile</w:t>
        </w:r>
      </w:hyperlink>
    </w:p>
    <w:p w:rsidR="00C43232" w:rsidRPr="00C43232" w:rsidRDefault="001F7375" w:rsidP="00C43232">
      <w:pPr>
        <w:spacing w:line="240" w:lineRule="auto"/>
        <w:ind w:left="136" w:right="3147"/>
        <w:contextualSpacing/>
        <w:rPr>
          <w:rFonts w:cstheme="minorHAnsi"/>
          <w:color w:val="0462C1"/>
          <w:u w:val="single" w:color="0462C1"/>
        </w:rPr>
      </w:pPr>
      <w:hyperlink r:id="rId8">
        <w:r w:rsidR="00F201A0" w:rsidRPr="00C43232">
          <w:rPr>
            <w:rFonts w:cstheme="minorHAnsi"/>
            <w:b/>
          </w:rPr>
          <w:t xml:space="preserve">Fiche n°2 </w:t>
        </w:r>
        <w:r w:rsidR="00F201A0" w:rsidRPr="00C43232">
          <w:rPr>
            <w:rFonts w:cstheme="minorHAnsi"/>
          </w:rPr>
          <w:t>-</w:t>
        </w:r>
        <w:r w:rsidR="00F201A0" w:rsidRPr="00C43232">
          <w:rPr>
            <w:rFonts w:cstheme="minorHAnsi"/>
            <w:color w:val="0462C1"/>
            <w:u w:val="single" w:color="0462C1"/>
          </w:rPr>
          <w:t xml:space="preserve"> J’utilise mon journal de classe en primaire</w:t>
        </w:r>
      </w:hyperlink>
    </w:p>
    <w:p w:rsidR="00C43232" w:rsidRPr="00C43232" w:rsidRDefault="00F201A0" w:rsidP="00C43232">
      <w:pPr>
        <w:spacing w:line="240" w:lineRule="auto"/>
        <w:ind w:left="136" w:right="3147"/>
        <w:contextualSpacing/>
        <w:rPr>
          <w:rFonts w:cstheme="minorHAnsi"/>
          <w:color w:val="0462C1"/>
        </w:rPr>
      </w:pPr>
      <w:r w:rsidRPr="00C43232">
        <w:rPr>
          <w:rFonts w:cstheme="minorHAnsi"/>
          <w:b/>
        </w:rPr>
        <w:t xml:space="preserve">Fiche n°3 </w:t>
      </w:r>
      <w:r w:rsidRPr="00C43232">
        <w:rPr>
          <w:rFonts w:cstheme="minorHAnsi"/>
        </w:rPr>
        <w:t>-</w:t>
      </w:r>
      <w:hyperlink r:id="rId9">
        <w:r w:rsidRPr="00C43232">
          <w:rPr>
            <w:rFonts w:cstheme="minorHAnsi"/>
            <w:color w:val="0462C1"/>
            <w:u w:val="single" w:color="0462C1"/>
          </w:rPr>
          <w:t xml:space="preserve"> J’utilise mon journal de classe en secondaire</w:t>
        </w:r>
      </w:hyperlink>
      <w:r w:rsidRPr="00C43232">
        <w:rPr>
          <w:rFonts w:cstheme="minorHAnsi"/>
          <w:color w:val="0462C1"/>
        </w:rPr>
        <w:t xml:space="preserve"> </w:t>
      </w:r>
    </w:p>
    <w:p w:rsidR="00F201A0" w:rsidRPr="00C43232" w:rsidRDefault="00F201A0" w:rsidP="00C43232">
      <w:pPr>
        <w:spacing w:line="240" w:lineRule="auto"/>
        <w:ind w:left="136" w:right="3148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n°4 </w:t>
      </w:r>
      <w:r w:rsidRPr="00C43232">
        <w:rPr>
          <w:rFonts w:cstheme="minorHAnsi"/>
        </w:rPr>
        <w:t xml:space="preserve">- </w:t>
      </w:r>
      <w:hyperlink r:id="rId10">
        <w:r w:rsidRPr="00C43232">
          <w:rPr>
            <w:rFonts w:cstheme="minorHAnsi"/>
            <w:color w:val="0462C1"/>
            <w:u w:val="single" w:color="0462C1"/>
          </w:rPr>
          <w:t>Lectures obligatoires</w:t>
        </w:r>
      </w:hyperlink>
    </w:p>
    <w:p w:rsidR="00F201A0" w:rsidRPr="00C43232" w:rsidRDefault="00F201A0" w:rsidP="00C43232">
      <w:pPr>
        <w:spacing w:before="1"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n°5 </w:t>
      </w:r>
      <w:r w:rsidRPr="00C43232">
        <w:rPr>
          <w:rFonts w:cstheme="minorHAnsi"/>
        </w:rPr>
        <w:t xml:space="preserve">- </w:t>
      </w:r>
      <w:hyperlink r:id="rId11">
        <w:r w:rsidRPr="00C43232">
          <w:rPr>
            <w:rFonts w:cstheme="minorHAnsi"/>
            <w:color w:val="0462C1"/>
            <w:u w:val="single" w:color="0462C1"/>
          </w:rPr>
          <w:t>Dictées</w:t>
        </w:r>
      </w:hyperlink>
    </w:p>
    <w:p w:rsidR="00C43232" w:rsidRDefault="00F201A0" w:rsidP="00C43232">
      <w:pPr>
        <w:spacing w:line="240" w:lineRule="auto"/>
        <w:ind w:left="136"/>
        <w:contextualSpacing/>
        <w:rPr>
          <w:rFonts w:cstheme="minorHAnsi"/>
          <w:color w:val="0462C1"/>
          <w:u w:val="single" w:color="0462C1"/>
        </w:rPr>
      </w:pPr>
      <w:r w:rsidRPr="00C43232">
        <w:rPr>
          <w:rFonts w:cstheme="minorHAnsi"/>
          <w:b/>
        </w:rPr>
        <w:t xml:space="preserve">Fiche n°6 </w:t>
      </w:r>
      <w:r w:rsidRPr="00C43232">
        <w:rPr>
          <w:rFonts w:cstheme="minorHAnsi"/>
        </w:rPr>
        <w:t>-</w:t>
      </w:r>
      <w:hyperlink r:id="rId12">
        <w:r w:rsidRPr="00C43232">
          <w:rPr>
            <w:rFonts w:cstheme="minorHAnsi"/>
            <w:color w:val="0462C1"/>
            <w:u w:val="single" w:color="0462C1"/>
          </w:rPr>
          <w:t xml:space="preserve"> Production d’écrits</w:t>
        </w:r>
      </w:hyperlink>
    </w:p>
    <w:p w:rsidR="00C43232" w:rsidRDefault="00F201A0" w:rsidP="00C43232">
      <w:pPr>
        <w:spacing w:line="240" w:lineRule="auto"/>
        <w:ind w:left="136"/>
        <w:contextualSpacing/>
        <w:rPr>
          <w:rFonts w:cstheme="minorHAnsi"/>
          <w:color w:val="0462C1"/>
          <w:u w:color="0462C1"/>
        </w:rPr>
      </w:pPr>
      <w:r w:rsidRPr="00C43232">
        <w:rPr>
          <w:rFonts w:cstheme="minorHAnsi"/>
          <w:b/>
        </w:rPr>
        <w:t xml:space="preserve">Fiche n°7 </w:t>
      </w:r>
      <w:r w:rsidRPr="00C43232">
        <w:rPr>
          <w:rFonts w:cstheme="minorHAnsi"/>
        </w:rPr>
        <w:t xml:space="preserve">- </w:t>
      </w:r>
      <w:hyperlink r:id="rId13">
        <w:r w:rsidRPr="00C43232">
          <w:rPr>
            <w:rFonts w:cstheme="minorHAnsi"/>
            <w:color w:val="0462C1"/>
            <w:u w:val="single" w:color="0462C1"/>
          </w:rPr>
          <w:t>Mémoriser les tables de multiplication</w:t>
        </w:r>
      </w:hyperlink>
    </w:p>
    <w:p w:rsidR="00C43232" w:rsidRDefault="00F201A0" w:rsidP="00C43232">
      <w:pPr>
        <w:spacing w:line="240" w:lineRule="auto"/>
        <w:ind w:left="136"/>
        <w:contextualSpacing/>
        <w:rPr>
          <w:rFonts w:cstheme="minorHAnsi"/>
          <w:color w:val="0462C1"/>
        </w:rPr>
      </w:pPr>
      <w:r w:rsidRPr="00C43232">
        <w:rPr>
          <w:rFonts w:cstheme="minorHAnsi"/>
          <w:b/>
        </w:rPr>
        <w:t xml:space="preserve">Fiche n°8 </w:t>
      </w:r>
      <w:r w:rsidRPr="00C43232">
        <w:rPr>
          <w:rFonts w:cstheme="minorHAnsi"/>
        </w:rPr>
        <w:t>-</w:t>
      </w:r>
      <w:hyperlink r:id="rId14">
        <w:r w:rsidRPr="00C43232">
          <w:rPr>
            <w:rFonts w:cstheme="minorHAnsi"/>
            <w:color w:val="0462C1"/>
            <w:u w:val="single" w:color="0462C1"/>
          </w:rPr>
          <w:t xml:space="preserve"> L’appréhension des grandeurs - Les instruments de mesure</w:t>
        </w:r>
      </w:hyperlink>
      <w:r w:rsidRPr="00C43232">
        <w:rPr>
          <w:rFonts w:cstheme="minorHAnsi"/>
          <w:color w:val="0462C1"/>
        </w:rPr>
        <w:t xml:space="preserve"> </w:t>
      </w:r>
    </w:p>
    <w:p w:rsidR="00C43232" w:rsidRDefault="00F201A0" w:rsidP="00C43232">
      <w:pPr>
        <w:spacing w:line="240" w:lineRule="auto"/>
        <w:ind w:left="136"/>
        <w:contextualSpacing/>
        <w:rPr>
          <w:rFonts w:cstheme="minorHAnsi"/>
          <w:color w:val="0462C1"/>
        </w:rPr>
      </w:pPr>
      <w:r w:rsidRPr="00C43232">
        <w:rPr>
          <w:rFonts w:cstheme="minorHAnsi"/>
          <w:b/>
        </w:rPr>
        <w:t xml:space="preserve">Fiche n°9 </w:t>
      </w:r>
      <w:r w:rsidRPr="00C43232">
        <w:rPr>
          <w:rFonts w:cstheme="minorHAnsi"/>
        </w:rPr>
        <w:t xml:space="preserve">- </w:t>
      </w:r>
      <w:hyperlink r:id="rId15">
        <w:r w:rsidRPr="00C43232">
          <w:rPr>
            <w:rFonts w:cstheme="minorHAnsi"/>
            <w:color w:val="0462C1"/>
            <w:u w:val="single" w:color="0462C1"/>
          </w:rPr>
          <w:t>Les grandeurs : choix de la bonne unité – Les abaques</w:t>
        </w:r>
      </w:hyperlink>
      <w:r w:rsidRPr="00C43232">
        <w:rPr>
          <w:rFonts w:cstheme="minorHAnsi"/>
          <w:color w:val="0462C1"/>
        </w:rPr>
        <w:t xml:space="preserve"> </w:t>
      </w:r>
    </w:p>
    <w:p w:rsidR="00F201A0" w:rsidRPr="00C43232" w:rsidRDefault="00F201A0" w:rsidP="00C43232">
      <w:pPr>
        <w:spacing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n°10 </w:t>
      </w:r>
      <w:r w:rsidRPr="00C43232">
        <w:rPr>
          <w:rFonts w:cstheme="minorHAnsi"/>
        </w:rPr>
        <w:t>-</w:t>
      </w:r>
      <w:hyperlink r:id="rId16">
        <w:r w:rsidRPr="00C43232">
          <w:rPr>
            <w:rFonts w:cstheme="minorHAnsi"/>
            <w:color w:val="0462C1"/>
            <w:u w:val="single" w:color="0462C1"/>
          </w:rPr>
          <w:t xml:space="preserve"> L’apprentissage des langues étrangères</w:t>
        </w:r>
      </w:hyperlink>
    </w:p>
    <w:p w:rsidR="00F201A0" w:rsidRPr="00C43232" w:rsidRDefault="00F201A0" w:rsidP="00C43232">
      <w:pPr>
        <w:spacing w:before="6"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 </w:t>
      </w:r>
      <w:r w:rsidRPr="00C43232">
        <w:rPr>
          <w:rFonts w:cstheme="minorHAnsi"/>
        </w:rPr>
        <w:t>-</w:t>
      </w:r>
      <w:hyperlink r:id="rId17" w:anchor="pdf-bo-dys-materiel-adapte">
        <w:r w:rsidRPr="00C43232">
          <w:rPr>
            <w:rFonts w:cstheme="minorHAnsi"/>
            <w:color w:val="0462C1"/>
            <w:u w:val="single" w:color="0462C1"/>
          </w:rPr>
          <w:t xml:space="preserve"> Matériel scolaire adapté</w:t>
        </w:r>
      </w:hyperlink>
    </w:p>
    <w:p w:rsidR="00C43232" w:rsidRDefault="00F201A0" w:rsidP="00C43232">
      <w:pPr>
        <w:spacing w:line="240" w:lineRule="auto"/>
        <w:ind w:left="136"/>
        <w:contextualSpacing/>
        <w:rPr>
          <w:rFonts w:cstheme="minorHAnsi"/>
          <w:color w:val="0462C1"/>
          <w:u w:val="single" w:color="0462C1"/>
        </w:rPr>
      </w:pPr>
      <w:r w:rsidRPr="00C43232">
        <w:rPr>
          <w:rFonts w:cstheme="minorHAnsi"/>
          <w:b/>
        </w:rPr>
        <w:t xml:space="preserve">Fiche n°12 </w:t>
      </w:r>
      <w:r w:rsidRPr="00C43232">
        <w:rPr>
          <w:rFonts w:cstheme="minorHAnsi"/>
        </w:rPr>
        <w:t xml:space="preserve">- </w:t>
      </w:r>
      <w:hyperlink r:id="rId18">
        <w:r w:rsidRPr="00C43232">
          <w:rPr>
            <w:rFonts w:cstheme="minorHAnsi"/>
            <w:color w:val="0462C1"/>
            <w:u w:val="single" w:color="0462C1"/>
          </w:rPr>
          <w:t>Dyspraxie et EPS</w:t>
        </w:r>
      </w:hyperlink>
    </w:p>
    <w:p w:rsidR="00F201A0" w:rsidRPr="00C43232" w:rsidRDefault="00F201A0" w:rsidP="00C43232">
      <w:pPr>
        <w:spacing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n°13 </w:t>
      </w:r>
      <w:r w:rsidRPr="00C43232">
        <w:rPr>
          <w:rFonts w:cstheme="minorHAnsi"/>
        </w:rPr>
        <w:t xml:space="preserve">- </w:t>
      </w:r>
      <w:hyperlink r:id="rId19">
        <w:r w:rsidRPr="00C43232">
          <w:rPr>
            <w:rFonts w:cstheme="minorHAnsi"/>
            <w:color w:val="0462C1"/>
            <w:u w:val="single" w:color="0462C1"/>
          </w:rPr>
          <w:t>Se préparer aux évaluations externes (CEB - CE1D)</w:t>
        </w:r>
      </w:hyperlink>
    </w:p>
    <w:p w:rsidR="00C43232" w:rsidRDefault="00F201A0" w:rsidP="00C43232">
      <w:pPr>
        <w:spacing w:line="240" w:lineRule="auto"/>
        <w:ind w:left="136"/>
        <w:contextualSpacing/>
        <w:rPr>
          <w:rFonts w:cstheme="minorHAnsi"/>
          <w:color w:val="0462C1"/>
          <w:u w:val="single" w:color="0462C1"/>
        </w:rPr>
      </w:pPr>
      <w:r w:rsidRPr="00C43232">
        <w:rPr>
          <w:rFonts w:cstheme="minorHAnsi"/>
          <w:b/>
        </w:rPr>
        <w:t xml:space="preserve">Fiche n°14 </w:t>
      </w:r>
      <w:r w:rsidRPr="00C43232">
        <w:rPr>
          <w:rFonts w:cstheme="minorHAnsi"/>
        </w:rPr>
        <w:t xml:space="preserve">- </w:t>
      </w:r>
      <w:hyperlink r:id="rId20" w:anchor="pdf-bo-dys-memorisation">
        <w:r w:rsidRPr="00C43232">
          <w:rPr>
            <w:rFonts w:cstheme="minorHAnsi"/>
            <w:color w:val="0462C1"/>
            <w:u w:val="single" w:color="0462C1"/>
          </w:rPr>
          <w:t>Le travail de la mémorisation</w:t>
        </w:r>
      </w:hyperlink>
    </w:p>
    <w:p w:rsidR="00C43232" w:rsidRDefault="00F201A0" w:rsidP="00C43232">
      <w:pPr>
        <w:spacing w:line="240" w:lineRule="auto"/>
        <w:ind w:left="136"/>
        <w:contextualSpacing/>
        <w:rPr>
          <w:rFonts w:cstheme="minorHAnsi"/>
          <w:color w:val="0462C1"/>
          <w:u w:color="0462C1"/>
        </w:rPr>
      </w:pPr>
      <w:r w:rsidRPr="00C43232">
        <w:rPr>
          <w:rFonts w:cstheme="minorHAnsi"/>
          <w:b/>
        </w:rPr>
        <w:t xml:space="preserve">Fiche n°15 </w:t>
      </w:r>
      <w:r w:rsidRPr="00C43232">
        <w:rPr>
          <w:rFonts w:cstheme="minorHAnsi"/>
        </w:rPr>
        <w:t xml:space="preserve">- </w:t>
      </w:r>
      <w:hyperlink r:id="rId21">
        <w:r w:rsidRPr="00C43232">
          <w:rPr>
            <w:rFonts w:cstheme="minorHAnsi"/>
            <w:color w:val="0462C1"/>
            <w:u w:val="single" w:color="0462C1"/>
          </w:rPr>
          <w:t>Lecture, décodage et stratégies pour les consignes</w:t>
        </w:r>
      </w:hyperlink>
    </w:p>
    <w:p w:rsidR="00F201A0" w:rsidRPr="00C43232" w:rsidRDefault="00F201A0" w:rsidP="00C43232">
      <w:pPr>
        <w:spacing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n°16 </w:t>
      </w:r>
      <w:r w:rsidRPr="00C43232">
        <w:rPr>
          <w:rFonts w:cstheme="minorHAnsi"/>
        </w:rPr>
        <w:t xml:space="preserve">- </w:t>
      </w:r>
      <w:hyperlink r:id="rId22">
        <w:r w:rsidRPr="00C43232">
          <w:rPr>
            <w:rFonts w:cstheme="minorHAnsi"/>
            <w:color w:val="0462C1"/>
            <w:u w:val="single" w:color="0462C1"/>
          </w:rPr>
          <w:t>Comment avoir des notes de cours complètes ?</w:t>
        </w:r>
      </w:hyperlink>
    </w:p>
    <w:p w:rsidR="00F201A0" w:rsidRPr="00C43232" w:rsidRDefault="00F201A0" w:rsidP="00C43232">
      <w:pPr>
        <w:spacing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n°17 </w:t>
      </w:r>
      <w:r w:rsidRPr="00C43232">
        <w:rPr>
          <w:rFonts w:cstheme="minorHAnsi"/>
          <w:color w:val="0070C0"/>
        </w:rPr>
        <w:t xml:space="preserve">– </w:t>
      </w:r>
      <w:hyperlink r:id="rId23">
        <w:r w:rsidRPr="00C43232">
          <w:rPr>
            <w:rFonts w:cstheme="minorHAnsi"/>
            <w:color w:val="0070C0"/>
            <w:u w:val="single" w:color="944F71"/>
          </w:rPr>
          <w:t>Utilisation du dictionnaire</w:t>
        </w:r>
      </w:hyperlink>
    </w:p>
    <w:p w:rsidR="00F201A0" w:rsidRPr="00C43232" w:rsidRDefault="00F201A0" w:rsidP="00C43232">
      <w:pPr>
        <w:spacing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n°18 </w:t>
      </w:r>
      <w:r w:rsidRPr="00C43232">
        <w:rPr>
          <w:rFonts w:cstheme="minorHAnsi"/>
        </w:rPr>
        <w:t xml:space="preserve">– </w:t>
      </w:r>
      <w:hyperlink r:id="rId24">
        <w:r w:rsidRPr="00C43232">
          <w:rPr>
            <w:rFonts w:cstheme="minorHAnsi"/>
            <w:color w:val="0462C1"/>
            <w:u w:val="single" w:color="0462C1"/>
          </w:rPr>
          <w:t>Ressources pour approfondir</w:t>
        </w:r>
      </w:hyperlink>
    </w:p>
    <w:p w:rsidR="00F201A0" w:rsidRDefault="001F7375" w:rsidP="00F201A0">
      <w:pPr>
        <w:pStyle w:val="Corpsdetex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Zone de texte 6" o:spid="_x0000_s1027" type="#_x0000_t202" style="width:456.7pt;height:40.8pt;visibility:visible;mso-position-horizontal-relative:char;mso-position-vertical-relative:line" fillcolor="#ffc000" stroked="f">
            <v:textbox inset="0,0,0,0">
              <w:txbxContent>
                <w:p w:rsidR="00F201A0" w:rsidRDefault="00F201A0" w:rsidP="00F201A0">
                  <w:pPr>
                    <w:spacing w:before="185"/>
                    <w:ind w:left="2986" w:right="2986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Fiches thématiques</w:t>
                  </w:r>
                </w:p>
              </w:txbxContent>
            </v:textbox>
            <w10:wrap type="none"/>
            <w10:anchorlock/>
          </v:shape>
        </w:pict>
      </w:r>
    </w:p>
    <w:p w:rsidR="00F201A0" w:rsidRDefault="00F201A0" w:rsidP="00F201A0">
      <w:pPr>
        <w:pStyle w:val="Corpsdetexte"/>
        <w:rPr>
          <w:rFonts w:ascii="Times New Roman"/>
          <w:sz w:val="20"/>
        </w:rPr>
      </w:pPr>
    </w:p>
    <w:p w:rsidR="00F201A0" w:rsidRPr="00C43232" w:rsidRDefault="00F201A0" w:rsidP="00C43232">
      <w:pPr>
        <w:spacing w:before="92"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 </w:t>
      </w:r>
      <w:r w:rsidRPr="00C43232">
        <w:rPr>
          <w:rFonts w:cstheme="minorHAnsi"/>
        </w:rPr>
        <w:t>- Et nous, parents, dans tout ça ?</w:t>
      </w:r>
    </w:p>
    <w:p w:rsidR="00C43232" w:rsidRDefault="00F201A0" w:rsidP="00C43232">
      <w:pPr>
        <w:spacing w:before="1"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n°2 </w:t>
      </w:r>
      <w:r w:rsidRPr="00C43232">
        <w:rPr>
          <w:rFonts w:cstheme="minorHAnsi"/>
        </w:rPr>
        <w:t>- Comment développer l’estime de soi ?</w:t>
      </w:r>
    </w:p>
    <w:p w:rsidR="00C43232" w:rsidRDefault="00F201A0" w:rsidP="00C43232">
      <w:pPr>
        <w:spacing w:before="1"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n°3 </w:t>
      </w:r>
      <w:r w:rsidRPr="00C43232">
        <w:rPr>
          <w:rFonts w:cstheme="minorHAnsi"/>
        </w:rPr>
        <w:t xml:space="preserve">- Le parent en recherche : et si mon enfant était « </w:t>
      </w:r>
      <w:proofErr w:type="spellStart"/>
      <w:r w:rsidRPr="00C43232">
        <w:rPr>
          <w:rFonts w:cstheme="minorHAnsi"/>
        </w:rPr>
        <w:t>dys</w:t>
      </w:r>
      <w:proofErr w:type="spellEnd"/>
      <w:r w:rsidRPr="00C43232">
        <w:rPr>
          <w:rFonts w:cstheme="minorHAnsi"/>
        </w:rPr>
        <w:t>-</w:t>
      </w:r>
      <w:proofErr w:type="spellStart"/>
      <w:r w:rsidRPr="00C43232">
        <w:rPr>
          <w:rFonts w:cstheme="minorHAnsi"/>
        </w:rPr>
        <w:t>férent</w:t>
      </w:r>
      <w:proofErr w:type="spellEnd"/>
      <w:r w:rsidRPr="00C43232">
        <w:rPr>
          <w:rFonts w:cstheme="minorHAnsi"/>
        </w:rPr>
        <w:t xml:space="preserve"> » ?</w:t>
      </w:r>
    </w:p>
    <w:p w:rsidR="00C43232" w:rsidRDefault="00F201A0" w:rsidP="00C43232">
      <w:pPr>
        <w:spacing w:before="1"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n°4 </w:t>
      </w:r>
      <w:r w:rsidRPr="00C43232">
        <w:rPr>
          <w:rFonts w:cstheme="minorHAnsi"/>
        </w:rPr>
        <w:t>- Diagnostic : le comprendre et l’accepter</w:t>
      </w:r>
    </w:p>
    <w:p w:rsidR="00C43232" w:rsidRDefault="00F201A0" w:rsidP="00C43232">
      <w:pPr>
        <w:spacing w:before="1"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n°5 </w:t>
      </w:r>
      <w:r w:rsidRPr="00C43232">
        <w:rPr>
          <w:rFonts w:cstheme="minorHAnsi"/>
        </w:rPr>
        <w:t>- Diagnostic : suivi thérapeutique de l’enfant</w:t>
      </w:r>
    </w:p>
    <w:p w:rsidR="00C43232" w:rsidRDefault="00F201A0" w:rsidP="00C43232">
      <w:pPr>
        <w:spacing w:before="1"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n°6 </w:t>
      </w:r>
      <w:r w:rsidRPr="00C43232">
        <w:rPr>
          <w:rFonts w:cstheme="minorHAnsi"/>
        </w:rPr>
        <w:t>- Communiquer avec l’équipe éducative en primaire</w:t>
      </w:r>
    </w:p>
    <w:p w:rsidR="00C43232" w:rsidRDefault="00F201A0" w:rsidP="00C43232">
      <w:pPr>
        <w:spacing w:before="1"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n°7 </w:t>
      </w:r>
      <w:r w:rsidRPr="00C43232">
        <w:rPr>
          <w:rFonts w:cstheme="minorHAnsi"/>
        </w:rPr>
        <w:t>- Communiquer avec l’équipe éducative et demander des aménagements raisonnables en secondaire</w:t>
      </w:r>
    </w:p>
    <w:p w:rsidR="00F201A0" w:rsidRPr="00C43232" w:rsidRDefault="00F201A0" w:rsidP="00C43232">
      <w:pPr>
        <w:spacing w:before="1"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n°8 </w:t>
      </w:r>
      <w:r w:rsidRPr="00C43232">
        <w:rPr>
          <w:rFonts w:cstheme="minorHAnsi"/>
        </w:rPr>
        <w:t>- Acceptation de l’enfant tel qu’il est et cheminement du parent</w:t>
      </w:r>
    </w:p>
    <w:p w:rsidR="00F201A0" w:rsidRPr="00C43232" w:rsidRDefault="00F201A0" w:rsidP="00C43232">
      <w:pPr>
        <w:spacing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n°9 </w:t>
      </w:r>
      <w:r w:rsidRPr="00C43232">
        <w:rPr>
          <w:rFonts w:cstheme="minorHAnsi"/>
        </w:rPr>
        <w:t>- Aménagements</w:t>
      </w:r>
      <w:r w:rsidRPr="00C43232">
        <w:rPr>
          <w:rFonts w:cstheme="minorHAnsi"/>
          <w:spacing w:val="-14"/>
        </w:rPr>
        <w:t xml:space="preserve"> </w:t>
      </w:r>
      <w:r w:rsidRPr="00C43232">
        <w:rPr>
          <w:rFonts w:cstheme="minorHAnsi"/>
        </w:rPr>
        <w:t>raisonnables</w:t>
      </w:r>
    </w:p>
    <w:p w:rsidR="00C43232" w:rsidRDefault="00F201A0" w:rsidP="00C43232">
      <w:pPr>
        <w:spacing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n°10 </w:t>
      </w:r>
      <w:r w:rsidRPr="00C43232">
        <w:rPr>
          <w:rFonts w:cstheme="minorHAnsi"/>
        </w:rPr>
        <w:t>- Aménagements à la</w:t>
      </w:r>
      <w:r w:rsidRPr="00C43232">
        <w:rPr>
          <w:rFonts w:cstheme="minorHAnsi"/>
          <w:spacing w:val="-12"/>
        </w:rPr>
        <w:t xml:space="preserve"> </w:t>
      </w:r>
      <w:r w:rsidRPr="00C43232">
        <w:rPr>
          <w:rFonts w:cstheme="minorHAnsi"/>
        </w:rPr>
        <w:t>maison</w:t>
      </w:r>
    </w:p>
    <w:p w:rsidR="00F201A0" w:rsidRPr="00C43232" w:rsidRDefault="00F201A0" w:rsidP="00C43232">
      <w:pPr>
        <w:spacing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 </w:t>
      </w:r>
      <w:r w:rsidRPr="00C43232">
        <w:rPr>
          <w:rFonts w:cstheme="minorHAnsi"/>
        </w:rPr>
        <w:t>– Changer d’école pour un enfant à besoins spécifiques</w:t>
      </w:r>
    </w:p>
    <w:p w:rsidR="00C43232" w:rsidRDefault="00F201A0" w:rsidP="00C43232">
      <w:pPr>
        <w:spacing w:before="1" w:line="240" w:lineRule="auto"/>
        <w:ind w:left="842" w:right="573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n°11a </w:t>
      </w:r>
      <w:r w:rsidRPr="00C43232">
        <w:rPr>
          <w:rFonts w:cstheme="minorHAnsi"/>
        </w:rPr>
        <w:t xml:space="preserve">– Quelles questions se poser et poser à l’école ordinaire ? </w:t>
      </w:r>
    </w:p>
    <w:p w:rsidR="00C43232" w:rsidRDefault="00F201A0" w:rsidP="00C43232">
      <w:pPr>
        <w:spacing w:before="1" w:line="240" w:lineRule="auto"/>
        <w:ind w:left="842" w:right="573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n°11b </w:t>
      </w:r>
      <w:r w:rsidRPr="00C43232">
        <w:rPr>
          <w:rFonts w:cstheme="minorHAnsi"/>
        </w:rPr>
        <w:t xml:space="preserve">– Quelles questions se poser et poser à l’école spécialisée ? </w:t>
      </w:r>
    </w:p>
    <w:p w:rsidR="00C43232" w:rsidRDefault="00F201A0" w:rsidP="00C43232">
      <w:pPr>
        <w:spacing w:before="1" w:line="240" w:lineRule="auto"/>
        <w:ind w:left="842" w:right="573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n°11c </w:t>
      </w:r>
      <w:r w:rsidRPr="00C43232">
        <w:rPr>
          <w:rFonts w:cstheme="minorHAnsi"/>
        </w:rPr>
        <w:t xml:space="preserve">– Changer d’école pour un enfant à besoins spécifiques </w:t>
      </w:r>
    </w:p>
    <w:p w:rsidR="00C43232" w:rsidRDefault="00F201A0" w:rsidP="00C43232">
      <w:pPr>
        <w:spacing w:before="1" w:line="240" w:lineRule="auto"/>
        <w:ind w:left="842" w:right="573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n°11d - </w:t>
      </w:r>
      <w:r w:rsidRPr="00C43232">
        <w:rPr>
          <w:rFonts w:cstheme="minorHAnsi"/>
        </w:rPr>
        <w:t>Alternatives à l’école</w:t>
      </w:r>
    </w:p>
    <w:p w:rsidR="00F201A0" w:rsidRPr="00C43232" w:rsidRDefault="00F201A0" w:rsidP="00C43232">
      <w:pPr>
        <w:spacing w:before="1" w:line="240" w:lineRule="auto"/>
        <w:ind w:left="842" w:right="573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n°11e </w:t>
      </w:r>
      <w:r w:rsidRPr="00C43232">
        <w:rPr>
          <w:rFonts w:cstheme="minorHAnsi"/>
        </w:rPr>
        <w:t>– Organisation de l’enseignement fondamental et secondaire en Fédération Wallonie-Bruxelles</w:t>
      </w:r>
    </w:p>
    <w:p w:rsidR="00C43232" w:rsidRDefault="00F201A0" w:rsidP="00C43232">
      <w:pPr>
        <w:spacing w:before="98" w:line="240" w:lineRule="auto"/>
        <w:ind w:left="842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n°11f </w:t>
      </w:r>
      <w:r w:rsidRPr="00C43232">
        <w:rPr>
          <w:rFonts w:cstheme="minorHAnsi"/>
        </w:rPr>
        <w:t>– Structures de l’enseignement spécialisé</w:t>
      </w:r>
    </w:p>
    <w:p w:rsidR="00C43232" w:rsidRDefault="00F201A0" w:rsidP="00C43232">
      <w:pPr>
        <w:spacing w:before="98" w:line="240" w:lineRule="auto"/>
        <w:ind w:left="842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n°11g </w:t>
      </w:r>
      <w:r w:rsidRPr="00C43232">
        <w:rPr>
          <w:rFonts w:cstheme="minorHAnsi"/>
        </w:rPr>
        <w:t>– L’intégration des élèves à besoins spécifiques</w:t>
      </w:r>
    </w:p>
    <w:p w:rsidR="00612A3D" w:rsidRDefault="00F201A0" w:rsidP="00612A3D">
      <w:pPr>
        <w:spacing w:before="98" w:line="240" w:lineRule="auto"/>
        <w:ind w:left="839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n°11h </w:t>
      </w:r>
      <w:r w:rsidRPr="00C43232">
        <w:rPr>
          <w:rFonts w:cstheme="minorHAnsi"/>
        </w:rPr>
        <w:t>- Passage de 6</w:t>
      </w:r>
      <w:r w:rsidRPr="00C43232">
        <w:rPr>
          <w:rFonts w:cstheme="minorHAnsi"/>
          <w:position w:val="8"/>
        </w:rPr>
        <w:t xml:space="preserve">e </w:t>
      </w:r>
      <w:r w:rsidRPr="00C43232">
        <w:rPr>
          <w:rFonts w:cstheme="minorHAnsi"/>
        </w:rPr>
        <w:t>primaire ordinaire avec intégration permanente totale (type 8)</w:t>
      </w:r>
    </w:p>
    <w:p w:rsidR="00612A3D" w:rsidRDefault="00F201A0" w:rsidP="00612A3D">
      <w:pPr>
        <w:spacing w:before="98" w:line="240" w:lineRule="auto"/>
        <w:ind w:left="839"/>
        <w:contextualSpacing/>
        <w:rPr>
          <w:rFonts w:cstheme="minorHAnsi"/>
        </w:rPr>
      </w:pPr>
      <w:proofErr w:type="gramStart"/>
      <w:r w:rsidRPr="00C43232">
        <w:rPr>
          <w:rFonts w:cstheme="minorHAnsi"/>
        </w:rPr>
        <w:t>vers</w:t>
      </w:r>
      <w:proofErr w:type="gramEnd"/>
      <w:r w:rsidRPr="00C43232">
        <w:rPr>
          <w:rFonts w:cstheme="minorHAnsi"/>
        </w:rPr>
        <w:t xml:space="preserve"> 1</w:t>
      </w:r>
      <w:r w:rsidRPr="00C43232">
        <w:rPr>
          <w:rFonts w:cstheme="minorHAnsi"/>
          <w:position w:val="8"/>
        </w:rPr>
        <w:t xml:space="preserve">e </w:t>
      </w:r>
      <w:r w:rsidRPr="00C43232">
        <w:rPr>
          <w:rFonts w:cstheme="minorHAnsi"/>
        </w:rPr>
        <w:t>secondaire ordinaire avec intégration permanente totale (type 8)</w:t>
      </w:r>
    </w:p>
    <w:p w:rsidR="00612A3D" w:rsidRDefault="00F201A0" w:rsidP="00612A3D">
      <w:pPr>
        <w:spacing w:before="98" w:line="240" w:lineRule="auto"/>
        <w:ind w:left="839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n°11i </w:t>
      </w:r>
      <w:r w:rsidRPr="00C43232">
        <w:rPr>
          <w:rFonts w:cstheme="minorHAnsi"/>
        </w:rPr>
        <w:t>- Passage de 6</w:t>
      </w:r>
      <w:r w:rsidRPr="00C43232">
        <w:rPr>
          <w:rFonts w:cstheme="minorHAnsi"/>
          <w:position w:val="8"/>
        </w:rPr>
        <w:t xml:space="preserve">e </w:t>
      </w:r>
      <w:r w:rsidRPr="00C43232">
        <w:rPr>
          <w:rFonts w:cstheme="minorHAnsi"/>
        </w:rPr>
        <w:t>primaire spécialisé (type 8) vers 1</w:t>
      </w:r>
      <w:r w:rsidRPr="00C43232">
        <w:rPr>
          <w:rFonts w:cstheme="minorHAnsi"/>
          <w:position w:val="8"/>
        </w:rPr>
        <w:t xml:space="preserve">e </w:t>
      </w:r>
      <w:r w:rsidRPr="00C43232">
        <w:rPr>
          <w:rFonts w:cstheme="minorHAnsi"/>
        </w:rPr>
        <w:t>secondaire ordinaire avec intégration permanente totale (type 8)</w:t>
      </w:r>
    </w:p>
    <w:p w:rsidR="00F201A0" w:rsidRPr="00C43232" w:rsidRDefault="00F201A0" w:rsidP="00612A3D">
      <w:pPr>
        <w:spacing w:before="98" w:line="240" w:lineRule="auto"/>
        <w:ind w:left="839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n°11j </w:t>
      </w:r>
      <w:r w:rsidRPr="00C43232">
        <w:rPr>
          <w:rFonts w:cstheme="minorHAnsi"/>
        </w:rPr>
        <w:t>– Tableau des différents parcours possibles à la fin de la 6</w:t>
      </w:r>
      <w:r w:rsidRPr="00C43232">
        <w:rPr>
          <w:rFonts w:cstheme="minorHAnsi"/>
          <w:position w:val="8"/>
        </w:rPr>
        <w:t xml:space="preserve">e </w:t>
      </w:r>
      <w:r w:rsidRPr="00C43232">
        <w:rPr>
          <w:rFonts w:cstheme="minorHAnsi"/>
        </w:rPr>
        <w:t>primaire ordinaire ou spécialisée / avec ou sans CEB</w:t>
      </w:r>
    </w:p>
    <w:p w:rsidR="00F201A0" w:rsidRPr="00C43232" w:rsidRDefault="00F201A0" w:rsidP="00C43232">
      <w:pPr>
        <w:pStyle w:val="Corpsdetexte"/>
        <w:spacing w:before="105"/>
        <w:ind w:left="136" w:right="919"/>
        <w:contextualSpacing/>
        <w:rPr>
          <w:rFonts w:asciiTheme="minorHAnsi" w:hAnsiTheme="minorHAnsi" w:cstheme="minorHAnsi"/>
          <w:sz w:val="22"/>
          <w:szCs w:val="22"/>
        </w:rPr>
      </w:pPr>
      <w:r w:rsidRPr="00C43232">
        <w:rPr>
          <w:rFonts w:asciiTheme="minorHAnsi" w:hAnsiTheme="minorHAnsi" w:cstheme="minorHAnsi"/>
          <w:b/>
          <w:sz w:val="22"/>
          <w:szCs w:val="22"/>
        </w:rPr>
        <w:t xml:space="preserve">Fiche n°12 </w:t>
      </w:r>
      <w:r w:rsidRPr="00C43232">
        <w:rPr>
          <w:rFonts w:asciiTheme="minorHAnsi" w:hAnsiTheme="minorHAnsi" w:cstheme="minorHAnsi"/>
          <w:sz w:val="22"/>
          <w:szCs w:val="22"/>
        </w:rPr>
        <w:t>- Adaptations destinées aux élèves à besoins spécifiques pour les épreuves certificatives externes (CEB, CE1D et CESS)</w:t>
      </w:r>
    </w:p>
    <w:p w:rsidR="00F201A0" w:rsidRPr="00C43232" w:rsidRDefault="00F201A0" w:rsidP="00612A3D">
      <w:pPr>
        <w:pStyle w:val="Corpsdetexte"/>
        <w:spacing w:before="1" w:after="160"/>
        <w:ind w:left="136"/>
        <w:contextualSpacing/>
        <w:rPr>
          <w:rFonts w:asciiTheme="minorHAnsi" w:hAnsiTheme="minorHAnsi" w:cstheme="minorHAnsi"/>
          <w:sz w:val="22"/>
          <w:szCs w:val="22"/>
        </w:rPr>
      </w:pPr>
      <w:r w:rsidRPr="00C43232">
        <w:rPr>
          <w:rFonts w:asciiTheme="minorHAnsi" w:hAnsiTheme="minorHAnsi" w:cstheme="minorHAnsi"/>
          <w:b/>
          <w:sz w:val="22"/>
          <w:szCs w:val="22"/>
        </w:rPr>
        <w:t xml:space="preserve">Fiche n°13 </w:t>
      </w:r>
      <w:r w:rsidRPr="00C43232">
        <w:rPr>
          <w:rFonts w:asciiTheme="minorHAnsi" w:hAnsiTheme="minorHAnsi" w:cstheme="minorHAnsi"/>
          <w:sz w:val="22"/>
          <w:szCs w:val="22"/>
        </w:rPr>
        <w:t>- Adaptations destinées aux élèves à besoins spécifiques pour les épreuves interdiocésaines facultatives de fin de 2</w:t>
      </w:r>
      <w:r w:rsidRPr="00C43232">
        <w:rPr>
          <w:rFonts w:asciiTheme="minorHAnsi" w:hAnsiTheme="minorHAnsi" w:cstheme="minorHAnsi"/>
          <w:position w:val="8"/>
          <w:sz w:val="22"/>
          <w:szCs w:val="22"/>
        </w:rPr>
        <w:t xml:space="preserve">e </w:t>
      </w:r>
      <w:r w:rsidRPr="00C43232">
        <w:rPr>
          <w:rFonts w:asciiTheme="minorHAnsi" w:hAnsiTheme="minorHAnsi" w:cstheme="minorHAnsi"/>
          <w:sz w:val="22"/>
          <w:szCs w:val="22"/>
        </w:rPr>
        <w:t>primaire et 4</w:t>
      </w:r>
      <w:r w:rsidRPr="00C43232">
        <w:rPr>
          <w:rFonts w:asciiTheme="minorHAnsi" w:hAnsiTheme="minorHAnsi" w:cstheme="minorHAnsi"/>
          <w:position w:val="8"/>
          <w:sz w:val="22"/>
          <w:szCs w:val="22"/>
        </w:rPr>
        <w:t xml:space="preserve">e </w:t>
      </w:r>
      <w:r w:rsidRPr="00C43232">
        <w:rPr>
          <w:rFonts w:asciiTheme="minorHAnsi" w:hAnsiTheme="minorHAnsi" w:cstheme="minorHAnsi"/>
          <w:sz w:val="22"/>
          <w:szCs w:val="22"/>
        </w:rPr>
        <w:t>primaire et pour l’examen de religion de 6</w:t>
      </w:r>
      <w:r w:rsidRPr="00C43232">
        <w:rPr>
          <w:rFonts w:asciiTheme="minorHAnsi" w:hAnsiTheme="minorHAnsi" w:cstheme="minorHAnsi"/>
          <w:position w:val="8"/>
          <w:sz w:val="22"/>
          <w:szCs w:val="22"/>
        </w:rPr>
        <w:t xml:space="preserve">e </w:t>
      </w:r>
      <w:r w:rsidRPr="00C43232">
        <w:rPr>
          <w:rFonts w:asciiTheme="minorHAnsi" w:hAnsiTheme="minorHAnsi" w:cstheme="minorHAnsi"/>
          <w:sz w:val="22"/>
          <w:szCs w:val="22"/>
        </w:rPr>
        <w:t>primaire</w:t>
      </w:r>
    </w:p>
    <w:p w:rsidR="00F201A0" w:rsidRPr="00C43232" w:rsidRDefault="00F201A0" w:rsidP="00C43232">
      <w:pPr>
        <w:pStyle w:val="Corpsdetexte"/>
        <w:spacing w:before="132"/>
        <w:ind w:left="136" w:right="919"/>
        <w:contextualSpacing/>
        <w:rPr>
          <w:rFonts w:asciiTheme="minorHAnsi" w:hAnsiTheme="minorHAnsi" w:cstheme="minorHAnsi"/>
          <w:sz w:val="22"/>
          <w:szCs w:val="22"/>
        </w:rPr>
      </w:pPr>
      <w:r w:rsidRPr="00C43232">
        <w:rPr>
          <w:rFonts w:asciiTheme="minorHAnsi" w:hAnsiTheme="minorHAnsi" w:cstheme="minorHAnsi"/>
          <w:b/>
          <w:sz w:val="22"/>
          <w:szCs w:val="22"/>
        </w:rPr>
        <w:t xml:space="preserve">Fiche n°14 </w:t>
      </w:r>
      <w:r w:rsidRPr="00C43232">
        <w:rPr>
          <w:rFonts w:asciiTheme="minorHAnsi" w:hAnsiTheme="minorHAnsi" w:cstheme="minorHAnsi"/>
          <w:sz w:val="22"/>
          <w:szCs w:val="22"/>
        </w:rPr>
        <w:t>- Adaptations destinées aux élèves à besoins spécifiques pour les épreuves facultatives d’étude du milieu de fin de 2</w:t>
      </w:r>
      <w:r w:rsidRPr="00C43232">
        <w:rPr>
          <w:rFonts w:asciiTheme="minorHAnsi" w:hAnsiTheme="minorHAnsi" w:cstheme="minorHAnsi"/>
          <w:position w:val="8"/>
          <w:sz w:val="22"/>
          <w:szCs w:val="22"/>
        </w:rPr>
        <w:t xml:space="preserve">e </w:t>
      </w:r>
      <w:r w:rsidRPr="00C43232">
        <w:rPr>
          <w:rFonts w:asciiTheme="minorHAnsi" w:hAnsiTheme="minorHAnsi" w:cstheme="minorHAnsi"/>
          <w:sz w:val="22"/>
          <w:szCs w:val="22"/>
        </w:rPr>
        <w:t>secondaire</w:t>
      </w:r>
    </w:p>
    <w:p w:rsidR="00F201A0" w:rsidRPr="00C43232" w:rsidRDefault="00F201A0" w:rsidP="00C43232">
      <w:pPr>
        <w:spacing w:before="125" w:line="240" w:lineRule="auto"/>
        <w:ind w:left="136"/>
        <w:contextualSpacing/>
        <w:rPr>
          <w:rFonts w:cstheme="minorHAnsi"/>
        </w:rPr>
      </w:pPr>
      <w:r w:rsidRPr="00C43232">
        <w:rPr>
          <w:rFonts w:cstheme="minorHAnsi"/>
          <w:b/>
        </w:rPr>
        <w:t xml:space="preserve">Fiche n°15 </w:t>
      </w:r>
      <w:r w:rsidRPr="00C43232">
        <w:rPr>
          <w:rFonts w:cstheme="minorHAnsi"/>
        </w:rPr>
        <w:t xml:space="preserve">– le PIA – </w:t>
      </w:r>
      <w:r w:rsidRPr="00C43232">
        <w:rPr>
          <w:rFonts w:cstheme="minorHAnsi"/>
          <w:shd w:val="clear" w:color="auto" w:fill="FFE499"/>
        </w:rPr>
        <w:t>En cours de réalisation</w:t>
      </w:r>
    </w:p>
    <w:p w:rsidR="00F201A0" w:rsidRDefault="001F7375" w:rsidP="00F201A0">
      <w:pPr>
        <w:pStyle w:val="Corpsdetex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 id="Zone de texte 4" o:spid="_x0000_s1026" type="#_x0000_t202" style="width:456.55pt;height:54.2pt;visibility:visible;mso-position-horizontal-relative:char;mso-position-vertical-relative:line" fillcolor="#f79546" stroked="f">
            <v:textbox inset="0,0,0,0">
              <w:txbxContent>
                <w:p w:rsidR="00F201A0" w:rsidRDefault="00F201A0" w:rsidP="00F201A0">
                  <w:pPr>
                    <w:pStyle w:val="Corpsdetexte"/>
                    <w:spacing w:before="2"/>
                    <w:rPr>
                      <w:rFonts w:ascii="Times New Roman"/>
                      <w:sz w:val="32"/>
                    </w:rPr>
                  </w:pPr>
                </w:p>
                <w:p w:rsidR="00F201A0" w:rsidRDefault="00F201A0" w:rsidP="00F201A0">
                  <w:pPr>
                    <w:spacing w:before="1"/>
                    <w:ind w:left="2553" w:right="2555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Fiches outils numériques</w:t>
                  </w:r>
                </w:p>
              </w:txbxContent>
            </v:textbox>
            <w10:wrap type="none"/>
            <w10:anchorlock/>
          </v:shape>
        </w:pict>
      </w:r>
    </w:p>
    <w:p w:rsidR="00F201A0" w:rsidRDefault="00F201A0" w:rsidP="00F201A0">
      <w:pPr>
        <w:pStyle w:val="Corpsdetexte"/>
        <w:spacing w:before="6"/>
        <w:rPr>
          <w:sz w:val="17"/>
        </w:rPr>
      </w:pPr>
    </w:p>
    <w:p w:rsidR="00F201A0" w:rsidRPr="00612A3D" w:rsidRDefault="00F201A0" w:rsidP="00612A3D">
      <w:pPr>
        <w:pStyle w:val="Corpsdetexte"/>
        <w:spacing w:before="92"/>
        <w:ind w:left="136"/>
        <w:contextualSpacing/>
        <w:rPr>
          <w:rFonts w:asciiTheme="minorHAnsi" w:hAnsiTheme="minorHAnsi" w:cstheme="minorHAnsi"/>
          <w:sz w:val="22"/>
          <w:szCs w:val="22"/>
        </w:rPr>
      </w:pPr>
      <w:r w:rsidRPr="00612A3D">
        <w:rPr>
          <w:rFonts w:asciiTheme="minorHAnsi" w:hAnsiTheme="minorHAnsi" w:cstheme="minorHAnsi"/>
          <w:b/>
          <w:sz w:val="22"/>
          <w:szCs w:val="22"/>
        </w:rPr>
        <w:t xml:space="preserve">Fiche n°1 </w:t>
      </w:r>
      <w:r w:rsidRPr="00612A3D">
        <w:rPr>
          <w:rFonts w:asciiTheme="minorHAnsi" w:hAnsiTheme="minorHAnsi" w:cstheme="minorHAnsi"/>
          <w:sz w:val="22"/>
          <w:szCs w:val="22"/>
        </w:rPr>
        <w:t>- Et si mon enfant utilisait un ordinateur, une tablette ?</w:t>
      </w:r>
    </w:p>
    <w:p w:rsidR="00F201A0" w:rsidRPr="00612A3D" w:rsidRDefault="00F201A0" w:rsidP="00612A3D">
      <w:pPr>
        <w:pStyle w:val="Corpsdetexte"/>
        <w:spacing w:before="1"/>
        <w:ind w:left="136"/>
        <w:contextualSpacing/>
        <w:rPr>
          <w:rFonts w:asciiTheme="minorHAnsi" w:hAnsiTheme="minorHAnsi" w:cstheme="minorHAnsi"/>
          <w:sz w:val="22"/>
          <w:szCs w:val="22"/>
        </w:rPr>
      </w:pPr>
      <w:r w:rsidRPr="00612A3D">
        <w:rPr>
          <w:rFonts w:asciiTheme="minorHAnsi" w:hAnsiTheme="minorHAnsi" w:cstheme="minorHAnsi"/>
          <w:b/>
          <w:sz w:val="22"/>
          <w:szCs w:val="22"/>
        </w:rPr>
        <w:t xml:space="preserve">Fiche n°2 </w:t>
      </w:r>
      <w:r w:rsidRPr="00612A3D">
        <w:rPr>
          <w:rFonts w:asciiTheme="minorHAnsi" w:hAnsiTheme="minorHAnsi" w:cstheme="minorHAnsi"/>
          <w:sz w:val="22"/>
          <w:szCs w:val="22"/>
        </w:rPr>
        <w:t>- L’utilisation de l’outil informatique en classe</w:t>
      </w:r>
    </w:p>
    <w:p w:rsidR="00F201A0" w:rsidRPr="00612A3D" w:rsidRDefault="00F201A0" w:rsidP="00612A3D">
      <w:pPr>
        <w:pStyle w:val="Corpsdetexte"/>
        <w:ind w:left="136" w:right="164"/>
        <w:contextualSpacing/>
        <w:rPr>
          <w:rFonts w:asciiTheme="minorHAnsi" w:hAnsiTheme="minorHAnsi" w:cstheme="minorHAnsi"/>
          <w:sz w:val="22"/>
          <w:szCs w:val="22"/>
        </w:rPr>
      </w:pPr>
      <w:r w:rsidRPr="00612A3D">
        <w:rPr>
          <w:rFonts w:asciiTheme="minorHAnsi" w:hAnsiTheme="minorHAnsi" w:cstheme="minorHAnsi"/>
          <w:b/>
          <w:sz w:val="22"/>
          <w:szCs w:val="22"/>
        </w:rPr>
        <w:t xml:space="preserve">Fiche n°3 </w:t>
      </w:r>
      <w:r w:rsidRPr="00612A3D">
        <w:rPr>
          <w:rFonts w:asciiTheme="minorHAnsi" w:hAnsiTheme="minorHAnsi" w:cstheme="minorHAnsi"/>
          <w:sz w:val="22"/>
          <w:szCs w:val="22"/>
        </w:rPr>
        <w:t>- Passer les évaluations externes (CEB, CE1D, CESS) en juin 2019 avec un outil numérique</w:t>
      </w:r>
    </w:p>
    <w:p w:rsidR="00612A3D" w:rsidRDefault="00F201A0" w:rsidP="00612A3D">
      <w:pPr>
        <w:pStyle w:val="Corpsdetexte"/>
        <w:spacing w:before="101"/>
        <w:ind w:left="136" w:right="164"/>
        <w:contextualSpacing/>
        <w:rPr>
          <w:rFonts w:asciiTheme="minorHAnsi" w:hAnsiTheme="minorHAnsi" w:cstheme="minorHAnsi"/>
          <w:sz w:val="22"/>
          <w:szCs w:val="22"/>
        </w:rPr>
      </w:pPr>
      <w:r w:rsidRPr="00612A3D">
        <w:rPr>
          <w:rFonts w:asciiTheme="minorHAnsi" w:hAnsiTheme="minorHAnsi" w:cstheme="minorHAnsi"/>
          <w:b/>
          <w:sz w:val="22"/>
          <w:szCs w:val="22"/>
        </w:rPr>
        <w:t xml:space="preserve">Fiche n°4 </w:t>
      </w:r>
      <w:r w:rsidRPr="00612A3D">
        <w:rPr>
          <w:rFonts w:asciiTheme="minorHAnsi" w:hAnsiTheme="minorHAnsi" w:cstheme="minorHAnsi"/>
          <w:sz w:val="22"/>
          <w:szCs w:val="22"/>
        </w:rPr>
        <w:t>– Outils de mémorisation en ligne sur le principe des cartes mémoires – En cours de</w:t>
      </w:r>
      <w:r w:rsidRPr="00612A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12A3D">
        <w:rPr>
          <w:rFonts w:asciiTheme="minorHAnsi" w:hAnsiTheme="minorHAnsi" w:cstheme="minorHAnsi"/>
          <w:sz w:val="22"/>
          <w:szCs w:val="22"/>
        </w:rPr>
        <w:t>réalisation</w:t>
      </w:r>
    </w:p>
    <w:p w:rsidR="00F201A0" w:rsidRPr="00612A3D" w:rsidRDefault="00F201A0" w:rsidP="00612A3D">
      <w:pPr>
        <w:pStyle w:val="Corpsdetexte"/>
        <w:spacing w:before="101"/>
        <w:ind w:left="136" w:right="167"/>
        <w:contextualSpacing/>
        <w:rPr>
          <w:rFonts w:asciiTheme="minorHAnsi" w:hAnsiTheme="minorHAnsi" w:cstheme="minorHAnsi"/>
          <w:sz w:val="22"/>
          <w:szCs w:val="22"/>
        </w:rPr>
      </w:pPr>
      <w:r w:rsidRPr="00612A3D">
        <w:rPr>
          <w:rFonts w:asciiTheme="minorHAnsi" w:hAnsiTheme="minorHAnsi" w:cstheme="minorHAnsi"/>
          <w:b/>
          <w:sz w:val="22"/>
          <w:szCs w:val="22"/>
        </w:rPr>
        <w:t xml:space="preserve">Fiche n°5 </w:t>
      </w:r>
      <w:r w:rsidRPr="00612A3D">
        <w:rPr>
          <w:rFonts w:asciiTheme="minorHAnsi" w:hAnsiTheme="minorHAnsi" w:cstheme="minorHAnsi"/>
          <w:sz w:val="22"/>
          <w:szCs w:val="22"/>
        </w:rPr>
        <w:t>- Les documents numériques</w:t>
      </w:r>
    </w:p>
    <w:p w:rsidR="00F201A0" w:rsidRPr="00612A3D" w:rsidRDefault="00F201A0" w:rsidP="00612A3D">
      <w:pPr>
        <w:pStyle w:val="Corpsdetexte"/>
        <w:ind w:left="136"/>
        <w:contextualSpacing/>
        <w:rPr>
          <w:rFonts w:asciiTheme="minorHAnsi" w:hAnsiTheme="minorHAnsi" w:cstheme="minorHAnsi"/>
          <w:sz w:val="22"/>
          <w:szCs w:val="22"/>
        </w:rPr>
      </w:pPr>
      <w:r w:rsidRPr="00612A3D">
        <w:rPr>
          <w:rFonts w:asciiTheme="minorHAnsi" w:hAnsiTheme="minorHAnsi" w:cstheme="minorHAnsi"/>
          <w:b/>
          <w:sz w:val="22"/>
          <w:szCs w:val="22"/>
        </w:rPr>
        <w:t xml:space="preserve">Fiche n°6 </w:t>
      </w:r>
      <w:r w:rsidRPr="00612A3D">
        <w:rPr>
          <w:rFonts w:asciiTheme="minorHAnsi" w:hAnsiTheme="minorHAnsi" w:cstheme="minorHAnsi"/>
          <w:sz w:val="22"/>
          <w:szCs w:val="22"/>
        </w:rPr>
        <w:t xml:space="preserve">- Utilisation du logiciel PDF </w:t>
      </w:r>
      <w:proofErr w:type="spellStart"/>
      <w:r w:rsidRPr="00612A3D">
        <w:rPr>
          <w:rFonts w:asciiTheme="minorHAnsi" w:hAnsiTheme="minorHAnsi" w:cstheme="minorHAnsi"/>
          <w:sz w:val="22"/>
          <w:szCs w:val="22"/>
        </w:rPr>
        <w:t>Xchange</w:t>
      </w:r>
      <w:proofErr w:type="spellEnd"/>
      <w:r w:rsidRPr="00612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2A3D">
        <w:rPr>
          <w:rFonts w:asciiTheme="minorHAnsi" w:hAnsiTheme="minorHAnsi" w:cstheme="minorHAnsi"/>
          <w:sz w:val="22"/>
          <w:szCs w:val="22"/>
        </w:rPr>
        <w:t>Viewer</w:t>
      </w:r>
      <w:proofErr w:type="spellEnd"/>
    </w:p>
    <w:p w:rsidR="00F201A0" w:rsidRPr="00612A3D" w:rsidRDefault="00F201A0" w:rsidP="00612A3D">
      <w:pPr>
        <w:pStyle w:val="Corpsdetexte"/>
        <w:ind w:left="136"/>
        <w:contextualSpacing/>
        <w:rPr>
          <w:rFonts w:asciiTheme="minorHAnsi" w:hAnsiTheme="minorHAnsi" w:cstheme="minorHAnsi"/>
          <w:sz w:val="22"/>
          <w:szCs w:val="22"/>
        </w:rPr>
      </w:pPr>
      <w:r w:rsidRPr="00612A3D">
        <w:rPr>
          <w:rFonts w:asciiTheme="minorHAnsi" w:hAnsiTheme="minorHAnsi" w:cstheme="minorHAnsi"/>
          <w:b/>
          <w:sz w:val="22"/>
          <w:szCs w:val="22"/>
        </w:rPr>
        <w:t xml:space="preserve">Fiche n°7 </w:t>
      </w:r>
      <w:r w:rsidRPr="00612A3D">
        <w:rPr>
          <w:rFonts w:asciiTheme="minorHAnsi" w:hAnsiTheme="minorHAnsi" w:cstheme="minorHAnsi"/>
          <w:sz w:val="22"/>
          <w:szCs w:val="22"/>
        </w:rPr>
        <w:t>– Cours, devoirs, interro…, comment les transférer ?</w:t>
      </w:r>
    </w:p>
    <w:p w:rsidR="00F201A0" w:rsidRPr="00612A3D" w:rsidRDefault="00F201A0" w:rsidP="00612A3D">
      <w:pPr>
        <w:spacing w:line="240" w:lineRule="auto"/>
        <w:ind w:left="136"/>
        <w:contextualSpacing/>
        <w:rPr>
          <w:rFonts w:cstheme="minorHAnsi"/>
        </w:rPr>
      </w:pPr>
      <w:r w:rsidRPr="00612A3D">
        <w:rPr>
          <w:rFonts w:cstheme="minorHAnsi"/>
          <w:b/>
        </w:rPr>
        <w:t xml:space="preserve">Fiche n°8 </w:t>
      </w:r>
      <w:r w:rsidRPr="00612A3D">
        <w:rPr>
          <w:rFonts w:cstheme="minorHAnsi"/>
        </w:rPr>
        <w:t>– Charte outil numérique en classe</w:t>
      </w:r>
    </w:p>
    <w:p w:rsidR="00F201A0" w:rsidRDefault="00F201A0" w:rsidP="00612A3D">
      <w:pPr>
        <w:spacing w:before="1" w:line="240" w:lineRule="auto"/>
        <w:ind w:left="136"/>
        <w:contextualSpacing/>
        <w:rPr>
          <w:rFonts w:cstheme="minorHAnsi"/>
        </w:rPr>
      </w:pPr>
      <w:r w:rsidRPr="00612A3D">
        <w:rPr>
          <w:rFonts w:cstheme="minorHAnsi"/>
          <w:b/>
        </w:rPr>
        <w:t xml:space="preserve">Fiche n°9 </w:t>
      </w:r>
      <w:r w:rsidRPr="00612A3D">
        <w:rPr>
          <w:rFonts w:cstheme="minorHAnsi"/>
        </w:rPr>
        <w:t xml:space="preserve">– </w:t>
      </w:r>
      <w:proofErr w:type="spellStart"/>
      <w:r w:rsidRPr="00612A3D">
        <w:rPr>
          <w:rFonts w:cstheme="minorHAnsi"/>
        </w:rPr>
        <w:t>Numabib</w:t>
      </w:r>
      <w:proofErr w:type="spellEnd"/>
      <w:r w:rsidRPr="00612A3D">
        <w:rPr>
          <w:rFonts w:cstheme="minorHAnsi"/>
        </w:rPr>
        <w:t xml:space="preserve">, l’e-bibliothèque </w:t>
      </w:r>
      <w:proofErr w:type="spellStart"/>
      <w:r w:rsidRPr="00612A3D">
        <w:rPr>
          <w:rFonts w:cstheme="minorHAnsi"/>
        </w:rPr>
        <w:t>dysférente</w:t>
      </w:r>
      <w:proofErr w:type="spellEnd"/>
    </w:p>
    <w:p w:rsidR="00612A3D" w:rsidRDefault="00612A3D" w:rsidP="00612A3D">
      <w:pPr>
        <w:spacing w:before="1" w:line="240" w:lineRule="auto"/>
        <w:ind w:left="136"/>
        <w:contextualSpacing/>
        <w:rPr>
          <w:rFonts w:cstheme="minorHAnsi"/>
        </w:rPr>
      </w:pPr>
    </w:p>
    <w:p w:rsidR="00612A3D" w:rsidRDefault="00612A3D" w:rsidP="00612A3D">
      <w:pPr>
        <w:spacing w:before="1" w:line="240" w:lineRule="auto"/>
        <w:ind w:left="136"/>
        <w:contextualSpacing/>
        <w:rPr>
          <w:rFonts w:cstheme="minorHAnsi"/>
        </w:rPr>
      </w:pPr>
    </w:p>
    <w:p w:rsidR="00612A3D" w:rsidRDefault="00612A3D" w:rsidP="00612A3D">
      <w:pPr>
        <w:spacing w:before="1" w:line="240" w:lineRule="auto"/>
        <w:ind w:left="136"/>
        <w:contextualSpacing/>
        <w:rPr>
          <w:rFonts w:cstheme="minorHAnsi"/>
        </w:rPr>
      </w:pPr>
    </w:p>
    <w:p w:rsidR="00612A3D" w:rsidRDefault="00612A3D" w:rsidP="00612A3D">
      <w:pPr>
        <w:spacing w:before="1" w:line="240" w:lineRule="auto"/>
        <w:ind w:left="136"/>
        <w:contextualSpacing/>
        <w:rPr>
          <w:rFonts w:cstheme="minorHAnsi"/>
        </w:rPr>
      </w:pPr>
      <w:r>
        <w:rPr>
          <w:rFonts w:cstheme="minorHAnsi"/>
        </w:rPr>
        <w:t>Bonne fin de semaine à toutes et tous.</w:t>
      </w:r>
    </w:p>
    <w:p w:rsidR="00612A3D" w:rsidRDefault="00612A3D" w:rsidP="00612A3D">
      <w:pPr>
        <w:spacing w:before="1" w:line="240" w:lineRule="auto"/>
        <w:ind w:left="136"/>
        <w:contextualSpacing/>
        <w:rPr>
          <w:rFonts w:cstheme="minorHAnsi"/>
        </w:rPr>
      </w:pPr>
    </w:p>
    <w:p w:rsidR="00612A3D" w:rsidRDefault="00612A3D" w:rsidP="00612A3D">
      <w:pPr>
        <w:spacing w:before="1" w:line="240" w:lineRule="auto"/>
        <w:ind w:left="136"/>
        <w:contextualSpacing/>
        <w:jc w:val="center"/>
        <w:rPr>
          <w:rFonts w:cstheme="minorHAnsi"/>
        </w:rPr>
      </w:pPr>
      <w:r>
        <w:rPr>
          <w:rFonts w:cstheme="minorHAnsi"/>
        </w:rPr>
        <w:t>Laurence Bournonville, pour l’équipe.</w:t>
      </w:r>
    </w:p>
    <w:p w:rsidR="00612A3D" w:rsidRDefault="00612A3D" w:rsidP="00612A3D">
      <w:pPr>
        <w:spacing w:before="1" w:line="240" w:lineRule="auto"/>
        <w:ind w:left="136"/>
        <w:contextualSpacing/>
        <w:jc w:val="center"/>
        <w:rPr>
          <w:rFonts w:cstheme="minorHAnsi"/>
        </w:rPr>
      </w:pPr>
    </w:p>
    <w:p w:rsidR="00612A3D" w:rsidRDefault="001F7375" w:rsidP="00612A3D">
      <w:pPr>
        <w:spacing w:before="1" w:line="240" w:lineRule="auto"/>
        <w:ind w:left="136"/>
        <w:contextualSpacing/>
        <w:jc w:val="center"/>
        <w:rPr>
          <w:rFonts w:cstheme="minorHAnsi"/>
        </w:rPr>
      </w:pPr>
      <w:hyperlink r:id="rId25" w:history="1">
        <w:r w:rsidR="00612A3D" w:rsidRPr="00AE0016">
          <w:rPr>
            <w:rStyle w:val="Lienhypertexte"/>
            <w:rFonts w:cstheme="minorHAnsi"/>
          </w:rPr>
          <w:t>Lbournonville.bxln@gmail.com</w:t>
        </w:r>
      </w:hyperlink>
    </w:p>
    <w:p w:rsidR="00612A3D" w:rsidRPr="00612A3D" w:rsidRDefault="00612A3D" w:rsidP="00612A3D">
      <w:pPr>
        <w:spacing w:before="1" w:line="240" w:lineRule="auto"/>
        <w:ind w:left="136"/>
        <w:contextualSpacing/>
        <w:jc w:val="center"/>
        <w:rPr>
          <w:rFonts w:cstheme="minorHAnsi"/>
        </w:rPr>
      </w:pPr>
    </w:p>
    <w:p w:rsidR="00F201A0" w:rsidRDefault="00F201A0" w:rsidP="00F201A0">
      <w:pPr>
        <w:jc w:val="both"/>
      </w:pPr>
    </w:p>
    <w:sectPr w:rsidR="00F201A0" w:rsidSect="001F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5C5D"/>
    <w:rsid w:val="001F7375"/>
    <w:rsid w:val="003B5C5D"/>
    <w:rsid w:val="00612A3D"/>
    <w:rsid w:val="00633EB8"/>
    <w:rsid w:val="008937A1"/>
    <w:rsid w:val="008A04D0"/>
    <w:rsid w:val="008E184B"/>
    <w:rsid w:val="00C43232"/>
    <w:rsid w:val="00CE0E12"/>
    <w:rsid w:val="00F2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201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F201A0"/>
    <w:rPr>
      <w:rFonts w:ascii="Arial" w:eastAsia="Arial" w:hAnsi="Arial" w:cs="Arial"/>
      <w:sz w:val="24"/>
      <w:szCs w:val="24"/>
      <w:lang w:eastAsia="fr-BE" w:bidi="fr-BE"/>
    </w:rPr>
  </w:style>
  <w:style w:type="character" w:styleId="Lienhypertexte">
    <w:name w:val="Hyperlink"/>
    <w:basedOn w:val="Policepardfaut"/>
    <w:uiPriority w:val="99"/>
    <w:unhideWhenUsed/>
    <w:rsid w:val="00C4323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323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pec.be/en-pratique/boite-outils-dys-05-2014-intro/fiches-pratico-pratiques/boiteaoutils-dys-jdcl-prim/" TargetMode="External"/><Relationship Id="rId13" Type="http://schemas.openxmlformats.org/officeDocument/2006/relationships/hyperlink" Target="http://www.ufapec.be/en-pratique/boite-outils-dys-05-2014-intro/fiches-pratico-pratiques/boiteaoutils-dys-tables-multiplication/" TargetMode="External"/><Relationship Id="rId18" Type="http://schemas.openxmlformats.org/officeDocument/2006/relationships/hyperlink" Target="http://www.ufapec.be/en-pratique/boite-outils-dys-05-2014-intro/fiches-pratico-pratiques/bo-dys-dyspraxie-et-ep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ufapec.be/en-pratique/boite-outils-dys-05-2014-intro/fiches-pratico-pratiques/bo-dys-consignes/" TargetMode="External"/><Relationship Id="rId7" Type="http://schemas.openxmlformats.org/officeDocument/2006/relationships/hyperlink" Target="http://www.ufapec.be/en-pratique/boite-outils-dys-05-2014-intro/fiches-pratico-pratiques/boiteaoutils-dys-travail-domicile/" TargetMode="External"/><Relationship Id="rId12" Type="http://schemas.openxmlformats.org/officeDocument/2006/relationships/hyperlink" Target="http://www.ufapec.be/en-pratique/boite-outils-dys-05-2014-intro/fiches-pratico-pratiques/boiteaoutils-dys-prod-ecrits/" TargetMode="External"/><Relationship Id="rId17" Type="http://schemas.openxmlformats.org/officeDocument/2006/relationships/hyperlink" Target="http://www.ufapec.be/en-pratique/boite-outils-dys-05-2014-intro/fiches-pratico-pratiques/bo-dys-materiel-scolaire/" TargetMode="External"/><Relationship Id="rId25" Type="http://schemas.openxmlformats.org/officeDocument/2006/relationships/hyperlink" Target="mailto:Lbournonville.bxl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fapec.be/en-pratique/boite-outils-dys-05-2014-intro/fiches-pratico-pratiques/bo-dys-langues-etrangeres/" TargetMode="External"/><Relationship Id="rId20" Type="http://schemas.openxmlformats.org/officeDocument/2006/relationships/hyperlink" Target="http://www.ufapec.be/en-pratique/boite-outils-dys-05-2014-intro/fiches-pratico-pratiques/bo-dys-memoris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dah.be/index.php/aide-soutien/outils-pratiques" TargetMode="External"/><Relationship Id="rId11" Type="http://schemas.openxmlformats.org/officeDocument/2006/relationships/hyperlink" Target="http://www.ufapec.be/en-pratique/boite-outils-dys-05-2014-intro/fiches-pratico-pratiques/boiteaoutils-dys-dictees/" TargetMode="External"/><Relationship Id="rId24" Type="http://schemas.openxmlformats.org/officeDocument/2006/relationships/hyperlink" Target="http://www.ufapec.be/en-pratique/boite-outils-dys-05-2014-intro/fiches-pratico-pratiques/bo-dys-ressources-outils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ufapec.be/en-pratique/boite-outils-dys-05-2014-intro/fiches-pratico-pratiques/boiteaoutils-dys-unites-de-mesure-abaques/" TargetMode="External"/><Relationship Id="rId23" Type="http://schemas.openxmlformats.org/officeDocument/2006/relationships/hyperlink" Target="http://www.ufapec.be/en-pratique/boite-outils-dys-05-2014-intro/fiches-pratico-pratiques/boiteaoutils-dys-dico/" TargetMode="External"/><Relationship Id="rId10" Type="http://schemas.openxmlformats.org/officeDocument/2006/relationships/hyperlink" Target="http://www.ufapec.be/en-pratique/boite-outils-dys-05-2014-intro/fiches-pratico-pratiques/boiteaoutils-dys-lectures/" TargetMode="External"/><Relationship Id="rId19" Type="http://schemas.openxmlformats.org/officeDocument/2006/relationships/hyperlink" Target="http://www.ufapec.be/en-pratique/boite-outils-dys-05-2014-intro/fiches-pratico-pratiques/bo-dys-prepa-evaluations-ext-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fapec.be/en-pratique/boite-outils-dys-05-2014-intro/fiches-pratico-pratiques/boiteaoutils-dys-jdcl-sec/" TargetMode="External"/><Relationship Id="rId14" Type="http://schemas.openxmlformats.org/officeDocument/2006/relationships/hyperlink" Target="http://www.ufapec.be/en-pratique/boite-outils-dys-05-2014-intro/fiches-pratico-pratiques/boiteaoutils-dys-grandeurs-mesures/" TargetMode="External"/><Relationship Id="rId22" Type="http://schemas.openxmlformats.org/officeDocument/2006/relationships/hyperlink" Target="http://www.ufapec.be/en-pratique/boite-outils-dys-05-2014-intro/fiches-pratico-pratiques/bo-dys-notes-de-cou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Bournonville</dc:creator>
  <cp:lastModifiedBy>Bernard De la Haye</cp:lastModifiedBy>
  <cp:revision>2</cp:revision>
  <dcterms:created xsi:type="dcterms:W3CDTF">2020-04-23T09:41:00Z</dcterms:created>
  <dcterms:modified xsi:type="dcterms:W3CDTF">2020-04-23T09:41:00Z</dcterms:modified>
</cp:coreProperties>
</file>